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54" w:rsidRPr="00C37854" w:rsidRDefault="00C37854" w:rsidP="008A1F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 ТЮМЕНСКОЙ ОБЛАСТИ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20.08.2012 г. №182/01-05-ос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CC9">
        <w:rPr>
          <w:rFonts w:ascii="Arial" w:eastAsia="Times New Roman" w:hAnsi="Arial" w:cs="Arial"/>
          <w:b/>
          <w:iCs/>
          <w:color w:val="000000"/>
          <w:sz w:val="21"/>
          <w:szCs w:val="21"/>
          <w:lang w:eastAsia="ru-RU"/>
        </w:rPr>
        <w:t>Об утверждении нормативов</w:t>
      </w: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 потребления коммунальных услуг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по </w:t>
      </w:r>
      <w:r w:rsidRPr="00D26CC9">
        <w:rPr>
          <w:rFonts w:ascii="Arial" w:eastAsia="Times New Roman" w:hAnsi="Arial" w:cs="Arial"/>
          <w:b/>
          <w:iCs/>
          <w:color w:val="000000"/>
          <w:sz w:val="21"/>
          <w:szCs w:val="21"/>
          <w:lang w:eastAsia="ru-RU"/>
        </w:rPr>
        <w:t>холодному и горячему водоснабжению, водоотведению</w:t>
      </w: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 в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Тюменской области (в ред. Приказа департамента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тарифной и ценовой политики Тюменской области  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от 10.09.2012 № 189/01-01-05-ос,от 08.11.2012 № 233/01-05-ос,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от 20.05.2013 № 67/01-05-ос, от 24.06.2013 № 74/01-05-ос,  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от 18.07.2013 №87/01-05-ос, от 30.09.2013 №166/01-05-ос, </w:t>
      </w:r>
    </w:p>
    <w:p w:rsidR="00C37854" w:rsidRPr="00D26CC9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CC9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от 28.11.2013 №448/01-05-ос)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157 Жилищного кодекса Российской Федерации, Постановлениями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от 23.05.2006 №306 «Об утверждении Правил установления и определения нормативов потребления коммунальных услуг», Положением о департаменте тарифной и ценовой политики Тюменской области, утвержденным постановлением Правительства Тюменской области от 30.05.2005 №59-п,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 Р И К А З Ы В А Ю: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 Утвердить 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1-ой группы муниципальных образований, определенные расчетным методом, согласно приложению №1 к настоящему приказу.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 Утвердить 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2-ой группы муниципальных образований, определенные расчетным методом, согласно приложению №2 к настоящему приказу.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   Утвердить 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(общедомовых), индивидуальных или общих (квартирных) приборов учета холодной (горячей) воды, определенные методом аналогов, согласно приложению № 3 к настоящему приказу.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   Утвердить 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домах, на которые не распространяются требования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установке коллективных (общедомовых) приборов учета холодной (горячей) воды, а также при отсутствии технической возможности установки коллективных (общедомовых) приборов учета холодной (горячей) воды, определенные расчетным методом, согласно приложению № 4 к настоящему приказу.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  Утвердить нормативы потребления коммунальной услуги по холодному водоснабжению для водоснабжения и приготовления пищи для сельскохозяйственных животных, определенные расчетным методом, согласно приложению №5 к настоящему приказу.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    Утвердить нормативы потребления коммунальной услуги по холодному водоснабжению для полива земельного участка в период с 01 мая по 31 августа, определенные расчетным методом, согласно приложению №6 к настоящему приказу.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    Действие настоящего приказа распространить на правоотношения, возникшие с 1 сентября 2012 года.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5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4284"/>
      </w:tblGrid>
      <w:tr w:rsidR="00C37854" w:rsidRPr="00C37854" w:rsidTr="00C37854">
        <w:trPr>
          <w:tblCellSpacing w:w="0" w:type="dxa"/>
        </w:trPr>
        <w:tc>
          <w:tcPr>
            <w:tcW w:w="3312" w:type="dxa"/>
            <w:shd w:val="clear" w:color="auto" w:fill="FFFFFF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divId w:val="1782066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департамента</w:t>
            </w:r>
          </w:p>
        </w:tc>
        <w:tc>
          <w:tcPr>
            <w:tcW w:w="4284" w:type="dxa"/>
            <w:shd w:val="clear" w:color="auto" w:fill="FFFFFF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Е.А.Карташков</w:t>
            </w:r>
            <w:proofErr w:type="spellEnd"/>
          </w:p>
        </w:tc>
      </w:tr>
    </w:tbl>
    <w:p w:rsid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3A60" w:rsidRDefault="00BA3A60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Pr="00C37854" w:rsidRDefault="00BA3A60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854" w:rsidRPr="00C37854" w:rsidRDefault="00C37854" w:rsidP="008A1F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№1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  №182/01-05-ос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1-ой группы муниципальных образований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1-я группа муниципальных образований:</w:t>
      </w: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городской округ город Тюмень; Тобольский городской округ.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657"/>
        <w:gridCol w:w="1417"/>
        <w:gridCol w:w="992"/>
        <w:gridCol w:w="1134"/>
      </w:tblGrid>
      <w:tr w:rsidR="00C37854" w:rsidRPr="00C37854" w:rsidTr="008A1FFE">
        <w:trPr>
          <w:tblCellSpacing w:w="0" w:type="dxa"/>
        </w:trPr>
        <w:tc>
          <w:tcPr>
            <w:tcW w:w="7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3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Норматив потребления, куб. м в месяц на 1 человека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72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водо-отведение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Жилые помещения и жилые дома с ваннами, оборудованными душем, умывальниками, мойками,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горячим водоснабжением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7,72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горячего водоснабжения и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Жилые помещения и жилые дома без ванн, с душем, умывальниками, мойками,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6,97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4,52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Жилые помещения и жилые дома без ванн, без душа, с умывальниками, мойками,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3,71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3,71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2,04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Жилые помещения в общежитиях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водоснабжением, с душем или ванной в комнате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горячим водоснабжением, 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комнате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4,93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4,67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водоснабжением, с общими душевыми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2,92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водоснабжением, с общими умывальными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1,37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комнате, без душевых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1,75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2,33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общими душевыми, 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Жилые помещения и жилые дома без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без горячего водоснабжения и индивидуального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водопользованием из водоразборных колонок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 индивидуальным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 Жилые помещения и жилые дома при отсутствии централизованного водоснабжения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ваннами, оборудованными душем, умывальниками, мойками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ванн, с душем, умывальниками, мойками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ванн, без душа, с умывальниками, мойками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3,71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 Нормативы потребления коммунальной услуги по водоотведению определены с учетом степени санитарно-технического благоустройства жилищного фонда, исходя из суммы нормативов потребления коммунальной услуги по холодному водоснабжению и коммунальной услуги по горячему водоснабжению.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 При отсутствии коммунальной услуги по водоотведению для степеней санитарно-технического благоустройства жилищного фонда, указанных в пунктах 1.1 - 4.10, норматив по водоотведению не применяется.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№2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ценовой политики Тюменской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  №182/01-05-ос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2-ой группы муниципальных образований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2-я группа муниципальных образований:</w:t>
      </w: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Омутинский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Тобольский муниципальный район, Тюменский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102"/>
        <w:gridCol w:w="1417"/>
        <w:gridCol w:w="1276"/>
        <w:gridCol w:w="1417"/>
      </w:tblGrid>
      <w:tr w:rsidR="00C37854" w:rsidRPr="00C37854" w:rsidTr="008A1FFE">
        <w:trPr>
          <w:tblCellSpacing w:w="0" w:type="dxa"/>
        </w:trPr>
        <w:tc>
          <w:tcPr>
            <w:tcW w:w="66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Норматив потребления, куб. м в месяц на 1 человека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667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водо-отведение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Жилые помещения и жилые дома с ваннами, оборудованными душем, умывальниками, мойками,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горячим водоснабжением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горячего водоснабжения и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3,02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Жилые помещения и жилые дома без ванн, с душем, умывальниками, мойками,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4,52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горячего   водоснабжения и индивидуального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3,09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Жилые помещения и жилые дома без ванн, без душа, с умывальниками, мойками,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2,83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2,15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2,04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Жилые помещения в общежитиях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водоснабжением, с душем или ванной в комнате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горячим водоснабжением, 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комнате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4,73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4,44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водоснабжением, с общими душевыми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2,63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горячим водоснабжением, с общими умывальными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1,23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комнате, без душевых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общими душевыми, 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2,71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Жилые помещения и жилые дома без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без горячего водоснабжения и индивидуального водонагревателя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водопользованием из водоразборных колонок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точкой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 индивидуальным газовым или электрическим водонагревателем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 Жилые помещения и жилые дома при отсутствии централизованного водоснабжения при наличии водоотведения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ваннами, оборудованными душем, умывальниками, мойками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ванн, с душем, умывальниками, мойками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ванн, без душа, с умывальниками, мойками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2,83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Нормативы потребления коммунальной услуги по водоотведению определены с учетом степени санитарно-технического благоустройства жилищного фонда, исходя из суммы нормативов потребления коммунальной услуги по холодному водоснабжению и коммунальной услуги по горячему водоснабжению.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При отсутствии коммунальной услуги по водоотведению для степеней санитарно-технического благоустройства жилищного фонда, указанных в пунктах 1.1 - 4.10, норматив по водоотведению не применяется.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№3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ценовой политики Тюменской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  №182/01-05-ос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(общедомовых), индивидуальных или общих (квартирных) приборов учета холодной (горячей) воды, применяемые с 01.06.2013 по 31.12.2014 (куб.м в месяц на 1 кв.м уборочных площадей в многоквартирном доме)*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991"/>
        <w:gridCol w:w="1418"/>
        <w:gridCol w:w="1106"/>
        <w:gridCol w:w="1162"/>
        <w:gridCol w:w="1134"/>
      </w:tblGrid>
      <w:tr w:rsidR="00C37854" w:rsidRPr="00C37854" w:rsidTr="008A1FFE">
        <w:trPr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услуги**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 включительно</w:t>
            </w:r>
          </w:p>
        </w:tc>
        <w:tc>
          <w:tcPr>
            <w:tcW w:w="2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30% до 75% жилых и нежилых помещений включительно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75%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              Многоквартирные дома с горячим водоснабжением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наличии индивидуального или общего (квартирного) прибора </w:t>
            </w: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0,060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0,120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            Многоквартирные дома без горячего водоснабжения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0,070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применяются для многоквартирных домов за исключением жилищного фонда, указанного в приложении №4 настоящего приказа.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 разбора холодной (горячей) воды.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(общедомовых), индивидуальных или общих (квартирных) приборов учета холодной (горячей) воды, применяемые с 01.01.2015 по 30.06.2015 (куб.м в месяц на 1 кв.м уборочных площадей в многоквартирном доме)*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1418"/>
        <w:gridCol w:w="850"/>
        <w:gridCol w:w="1418"/>
        <w:gridCol w:w="964"/>
        <w:gridCol w:w="1162"/>
        <w:gridCol w:w="1134"/>
      </w:tblGrid>
      <w:tr w:rsidR="00C37854" w:rsidRPr="00C37854" w:rsidTr="008A1FFE">
        <w:trPr>
          <w:tblCellSpacing w:w="0" w:type="dxa"/>
        </w:trPr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услуги**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 включительно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30% до 75% жилых и нежилых помещений включительно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75%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              Многоквартирные дома с горячим водоснабжением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0,198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0,132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0,088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            Многоквартирные дома без горячего водоснабжения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0,077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отсутствии индивидуального или общего (квартирного) прибора учета </w:t>
            </w: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0,330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0,220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применяются для многоквартирных домов за исключением жилищного фонда, указанного в приложении №4 настоящего приказа.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 разбора холодной (горячей) воды.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(общедомовых), индивидуальных или общих (квартирных) приборов учета холодной (горячей) воды, применяемые с 01.07.2015 по 31.12.2015 (куб.м в месяц на 1 кв.м уборочных площадей в многоквартирном доме)*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1133"/>
        <w:gridCol w:w="1418"/>
        <w:gridCol w:w="1106"/>
        <w:gridCol w:w="1162"/>
        <w:gridCol w:w="1134"/>
      </w:tblGrid>
      <w:tr w:rsidR="00C37854" w:rsidRPr="00C37854" w:rsidTr="008A1FFE">
        <w:trPr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услуги**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 включительно</w:t>
            </w:r>
          </w:p>
        </w:tc>
        <w:tc>
          <w:tcPr>
            <w:tcW w:w="2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30% до 75% жилых и нежилых помещений включительно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75%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              Многоквартирные дома с горячим водоснабжением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0,024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0,216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0,144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0,144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0,072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            Многоквартирные дома без горячего водоснабжения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0,360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0,240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применяются для многоквартирных домов за исключением жилищного фонда, указанного в приложении №4 настоящего приказа.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 разбора холодной (горячей) воды.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</w:t>
      </w: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наличии технической возможности установки коллективных (общедомовых), индивидуальных или общих (квартирных) приборов учета холодной (горячей) воды, применяемые с 01.01.2016 по 30.06.2016 (куб.м в месяц на 1 кв.м уборочных площадей в многоквартирном доме)*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4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418"/>
        <w:gridCol w:w="1134"/>
        <w:gridCol w:w="1418"/>
        <w:gridCol w:w="822"/>
        <w:gridCol w:w="1162"/>
        <w:gridCol w:w="1276"/>
      </w:tblGrid>
      <w:tr w:rsidR="00C37854" w:rsidRPr="00C37854" w:rsidTr="008A1FFE">
        <w:trPr>
          <w:tblCellSpacing w:w="0" w:type="dxa"/>
        </w:trPr>
        <w:tc>
          <w:tcPr>
            <w:tcW w:w="3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услуги**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 включительно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30% до 75% жилых и нежилых помещений включительно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75%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              Многоквартирные дома с горячим водоснабжением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0,168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0,168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0,084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            Многоквартирные дома без горячего водоснабжения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0,098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0,280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применяются для многоквартирных домов за исключением жилищного фонда, указанного в приложении №4 настоящего приказа.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 разбора холодной (горячей) воды.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(общедомовых), индивидуальных или общих (квартирных) приборов учета холодной (горячей) воды, применяемые с 01.07.2016 по 31.12.2016 (куб.м в месяц на 1 кв.м уборочных площадей в многоквартирном доме)*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418"/>
        <w:gridCol w:w="850"/>
        <w:gridCol w:w="1418"/>
        <w:gridCol w:w="850"/>
        <w:gridCol w:w="1276"/>
        <w:gridCol w:w="992"/>
      </w:tblGrid>
      <w:tr w:rsidR="00C37854" w:rsidRPr="00C37854" w:rsidTr="008A1FFE">
        <w:trPr>
          <w:tblCellSpacing w:w="0" w:type="dxa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услуги**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 включительно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30% до 75% жилых и нежилых помещений включительно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75%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              Многоквартирные дома с горячим водоснабжением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наличии индивидуального или общего (квартирного) прибора учета холодной (горячей) воды в жилом (нежилом) помещении </w:t>
            </w: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0,090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0,090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            Многоквартирные дома без горячего водоснабжения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применяются для многоквартирных домов за исключением жилищного фонда, указанного в приложении №4 настоящего приказа.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 разбора холодной (горячей) воды.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(общедомовых), индивидуальных или общих (квартирных) приборов учета холодной (горячей) воды, применяемые с 01.01.2017 (куб.м в месяц на 1 кв.м уборочных площадей в многоквартирном доме)*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1418"/>
        <w:gridCol w:w="850"/>
        <w:gridCol w:w="1418"/>
        <w:gridCol w:w="823"/>
        <w:gridCol w:w="1162"/>
        <w:gridCol w:w="850"/>
      </w:tblGrid>
      <w:tr w:rsidR="00C37854" w:rsidRPr="00C37854" w:rsidTr="008A1FFE">
        <w:trPr>
          <w:tblCellSpacing w:w="0" w:type="dxa"/>
        </w:trPr>
        <w:tc>
          <w:tcPr>
            <w:tcW w:w="4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оснащенности многоквартирного дома индивидуальными приборами учета по состоянию на последнее число месяца, предшествующего месяцу, в котором осуществляется расчет размера платы за предоставленные коммунальные услуги**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 включительно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30% до 75% жилых и нежилых помещений включительно</w:t>
            </w:r>
          </w:p>
        </w:tc>
        <w:tc>
          <w:tcPr>
            <w:tcW w:w="2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75%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жилых и нежилых помещений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4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              Многоквартирные дома с горячим водоснабжением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0,064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0,032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0,192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0,192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0,128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0,096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107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            Многоквартирные дома без горячего водоснабжения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наличии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7854" w:rsidRPr="00C37854" w:rsidTr="008A1FFE">
        <w:trPr>
          <w:tblCellSpacing w:w="0" w:type="dxa"/>
        </w:trPr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отсутствии индивидуального или общего (квартирного) прибора учета холодной (горячей) воды в жилом (нежилом) помещении многоквартирного дома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0,320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применяются для многоквартирных домов за исключением жилищного фонда, указанного в приложении №4 настоящего приказа.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** степень оснащенности многоквартирного дома индивидуальными приборами учета определяется на основании данных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(квартирными) приборами учета холодной (горячей) воды жилых и нежилых помещений в многоквартирном доме к общему количеству жилых и нежилых помещений, в которых технической документацией на многоквартирный дом предусмотрена точка разбора холодной (горячей) воды.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определении нормативов потребления коммунальных услуг по холодному и горячему водоснабжению на общедомовые нужды учтены уборочные площади помещений, не являющихся частями жилых (нежилых) помещений в многоквартирных домах и предназначенных для обслуживания более одного помещения в многоквартирном доме, за исключением площадей технических этажей, чердаков, подвалов, лифтовых и иных шахт, земельных участков, на которых расположены многоквартирные дома, с элементами озеленения и благоустройства.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случае, если в нежилом помещении многоквартирного дома, не относящемся к общему имуществу сособственников помещений в многоквартирном доме, отсутствует точка разбора холодной (горячей) воды (в соответствии с технической документацией на многоквартирный дом), для расчета принимаются нормативы потребления, установленные при наличии индивидуального или общего (квартирного) прибора учета холодной (горячей) воды в жилом (нежилом) помещении многоквартирного дома, соответствующие степени оснащенности домов индивидуальными приборами учета.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№4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ценовой политики Тюменской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  №182/01-05-ос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домах, на которые не распространяются требования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установке коллективных (общедомовых) приборов учета холодной (горячей) воды, а также при отсутствии технической возможности установки коллективных (общедомовых) приборов учета холодной (горячей) воды (куб.м в месяц на 1 кв.м уборочных площадей в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многоквартирном доме)*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96"/>
        <w:gridCol w:w="2496"/>
        <w:gridCol w:w="2496"/>
      </w:tblGrid>
      <w:tr w:rsidR="00C37854" w:rsidRPr="00C37854" w:rsidTr="00C37854">
        <w:trPr>
          <w:tblCellSpacing w:w="0" w:type="dxa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Этажность многоквартирного дома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Многоквартирные дома с горячим водоснабжением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Многоквартирные дома без горячего водоснабжения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этажный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0,045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4-7 этажный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0,033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8-10 этажный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этажный и выше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0,010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применяется также для многоквартирных домов со степенями санитарно-технического благоустройства: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1 группы муниципальных образований в соответствии с пунктами 4.4-4.7 и 4.9-4.10 таблицы приложения №1 к настоящему приказу;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2 группы муниципальных образований в соответствии с пунктами 4.4-4.7 и4.9-4.10 таблицы приложения №2 к настоящему приказу.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определении нормативов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учтены уборочные площади помещений, не являющихся частями жилых (нежилых) помещений в многоквартирных домах и предназначенных для обслуживания более одного помещения в многоквартирном доме, за исключением площадей технических этажей, чердаков, подвалов, лифтовых и иных шахт, земельных участков, на которых расположены многоквартирные дома, с элементами озеленения и благоустройства.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 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№5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  №182/01-05-ос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коммунальной услуги по холодному водоснабжению для водоснабжения и приготовления пищи для сельскохозяйственных животных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684"/>
        <w:gridCol w:w="3084"/>
      </w:tblGrid>
      <w:tr w:rsidR="00C37854" w:rsidRPr="00C37854" w:rsidTr="00C37854">
        <w:trPr>
          <w:tblHeader/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Сельскохозяйственные животные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Норматив,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 м в месяц на 1 голову животного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стойловый период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крупный рогатый скот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1,40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лошади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2,10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свиньи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0,50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козы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0,08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овцы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0,15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птица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№6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  №182/01-05-ос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коммунальной услуги по холодному водоснабжению для полива земельного участка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период с 01 мая по 31 августа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692"/>
        <w:gridCol w:w="2076"/>
      </w:tblGrid>
      <w:tr w:rsidR="00C37854" w:rsidRPr="00C37854" w:rsidTr="00C37854">
        <w:trPr>
          <w:tblHeader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Точка </w:t>
            </w:r>
            <w:proofErr w:type="spellStart"/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водоразбора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Норматив,</w:t>
            </w:r>
          </w:p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 м в месяц на  1 кв. м земельного участка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водопроводный ввод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</w:t>
            </w:r>
          </w:p>
        </w:tc>
      </w:tr>
      <w:tr w:rsidR="00C37854" w:rsidRPr="00C37854" w:rsidTr="00C37854">
        <w:trPr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водоразборная колонка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854" w:rsidRPr="00C37854" w:rsidRDefault="00C37854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8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</w:t>
            </w:r>
          </w:p>
        </w:tc>
      </w:tr>
    </w:tbl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7854" w:rsidRPr="00C37854" w:rsidRDefault="00C37854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8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1274B" w:rsidRDefault="00B1274B" w:rsidP="008A1FFE">
      <w:pPr>
        <w:jc w:val="both"/>
      </w:pPr>
    </w:p>
    <w:p w:rsidR="00AE0575" w:rsidRDefault="00AE0575" w:rsidP="008A1FFE">
      <w:pPr>
        <w:jc w:val="both"/>
      </w:pPr>
    </w:p>
    <w:p w:rsidR="00BA3A60" w:rsidRDefault="00BA3A60" w:rsidP="008A1FFE">
      <w:pPr>
        <w:jc w:val="both"/>
      </w:pPr>
    </w:p>
    <w:p w:rsidR="00BA3A60" w:rsidRDefault="00BA3A60" w:rsidP="008A1FFE">
      <w:pPr>
        <w:jc w:val="both"/>
      </w:pPr>
    </w:p>
    <w:p w:rsidR="00BA3A60" w:rsidRDefault="00BA3A60" w:rsidP="008A1FFE">
      <w:pPr>
        <w:jc w:val="both"/>
      </w:pPr>
    </w:p>
    <w:p w:rsidR="00BA3A60" w:rsidRDefault="00BA3A60" w:rsidP="008A1FFE">
      <w:pPr>
        <w:jc w:val="both"/>
      </w:pPr>
    </w:p>
    <w:p w:rsidR="00BA3A60" w:rsidRDefault="00BA3A60" w:rsidP="008A1FFE">
      <w:pPr>
        <w:jc w:val="both"/>
      </w:pPr>
    </w:p>
    <w:p w:rsidR="00FA6DA9" w:rsidRDefault="00FA6DA9" w:rsidP="008A1FFE">
      <w:pPr>
        <w:jc w:val="both"/>
      </w:pPr>
    </w:p>
    <w:p w:rsidR="00AE0575" w:rsidRPr="00AE0575" w:rsidRDefault="00AE0575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AE057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lastRenderedPageBreak/>
        <w:t>Электроснабжение</w:t>
      </w:r>
    </w:p>
    <w:p w:rsidR="00AE0575" w:rsidRPr="00AE0575" w:rsidRDefault="00AE0575" w:rsidP="008A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BA3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</w:t>
      </w:r>
    </w:p>
    <w:p w:rsidR="00AE0575" w:rsidRPr="00AE0575" w:rsidRDefault="00AE0575" w:rsidP="00BA3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ТАРИФНОЙ И ЦЕНОВОЙ ПОЛИТИКИ ТЮМЕНСКОЙ ОБЛАСТИ</w:t>
      </w:r>
    </w:p>
    <w:p w:rsidR="00AE0575" w:rsidRPr="00AE0575" w:rsidRDefault="00AE0575" w:rsidP="00BA3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575" w:rsidRPr="00AE0575" w:rsidRDefault="00AE0575" w:rsidP="00BA3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</w:t>
      </w:r>
    </w:p>
    <w:p w:rsidR="00AE0575" w:rsidRPr="00AE0575" w:rsidRDefault="00AE0575" w:rsidP="00BA3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575" w:rsidRPr="00AE0575" w:rsidRDefault="00AE0575" w:rsidP="00BA3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20.08.2012 г.                                                                                            № 183/01-05-ос</w:t>
      </w:r>
    </w:p>
    <w:p w:rsidR="00AE0575" w:rsidRPr="00AE0575" w:rsidRDefault="00AE0575" w:rsidP="008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Тюмень</w:t>
      </w:r>
    </w:p>
    <w:p w:rsidR="00AE0575" w:rsidRPr="00AE0575" w:rsidRDefault="00AE0575" w:rsidP="00BA3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575" w:rsidRPr="00850692" w:rsidRDefault="00AE0575" w:rsidP="00BA3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692">
        <w:rPr>
          <w:rFonts w:ascii="Arial" w:eastAsia="Times New Roman" w:hAnsi="Arial" w:cs="Arial"/>
          <w:b/>
          <w:iCs/>
          <w:color w:val="000000"/>
          <w:sz w:val="21"/>
          <w:szCs w:val="21"/>
          <w:lang w:eastAsia="ru-RU"/>
        </w:rPr>
        <w:t>Об утверждении нормативов</w:t>
      </w:r>
      <w:r w:rsidRPr="00850692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 потребления коммунальных</w:t>
      </w:r>
    </w:p>
    <w:p w:rsidR="00AE0575" w:rsidRPr="00850692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692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услуг по </w:t>
      </w:r>
      <w:r w:rsidRPr="00850692">
        <w:rPr>
          <w:rFonts w:ascii="Arial" w:eastAsia="Times New Roman" w:hAnsi="Arial" w:cs="Arial"/>
          <w:b/>
          <w:iCs/>
          <w:color w:val="000000"/>
          <w:sz w:val="21"/>
          <w:szCs w:val="21"/>
          <w:lang w:eastAsia="ru-RU"/>
        </w:rPr>
        <w:t>электроснабжению</w:t>
      </w:r>
      <w:r w:rsidRPr="008506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50692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в Тюменской области</w:t>
      </w:r>
    </w:p>
    <w:p w:rsidR="00AE0575" w:rsidRPr="00850692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692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(в ред. Приказа департамента тарифной и ценовой политики</w:t>
      </w:r>
    </w:p>
    <w:p w:rsidR="00AE0575" w:rsidRPr="00850692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692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Тюменской области от 08.11.2012 № 234/01-05-ос,</w:t>
      </w:r>
    </w:p>
    <w:p w:rsidR="00AE0575" w:rsidRPr="00850692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692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от 01.07.2013 № 80/01-05-ос)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157 Жилищного кодекса Российской Федерации, постановлениями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от 23.05.2006 №306 «Об утверждении Правил установления и определения нормативов потребления коммунальных услуг», Положением о департаменте тарифной и ценовой политики Тюменской области, утвержденным постановлением Правительства Тюменской области от 30.05.2005 №59-п.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 Р И К А З Ы В А Ю: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 Утвердить нормативы потребления коммунальных услуг  по электроснабжению собственниками и пользователями жилых помещений в многоквартирных домах и жилых домов, определенные расчетным методом, согласно приложению 1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 Утвердить нормативы потребления коммунальных услуг  по электроснабжению на общедомовые нужды собственниками и пользователями помещений в многоквартирных домах, определенные расчетным методом, согласно приложению 2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 Утвердить нормативы потребления коммунальной услуги по электроснабжению для освещения в целях содержания сельскохозяйственных животных, определенные расчетным методом, согласно приложению 3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 Утвердить нормативы потребления коммунальной услуги по электроснабжению для приготовления пищи и подогрева воды для сельскохозяйственных животных, определенные расчетным методом, согласно приложению 4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   Нормативы, утвержденные настоящим приказом, вводятся в действие с 1 сентября 2012 года.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3A60" w:rsidRDefault="00AE0575" w:rsidP="008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директора департамента                                       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Е.А.Карташков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0692" w:rsidRDefault="00850692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0692" w:rsidRDefault="00850692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0692" w:rsidRDefault="00850692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0692" w:rsidRDefault="00850692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0692" w:rsidRDefault="00850692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0692" w:rsidRDefault="00850692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0692" w:rsidRDefault="00850692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A60" w:rsidRDefault="00BA3A60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575" w:rsidRPr="00AE0575" w:rsidRDefault="00AE0575" w:rsidP="00BA3A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№1</w:t>
      </w:r>
    </w:p>
    <w:p w:rsidR="00AE0575" w:rsidRPr="00AE0575" w:rsidRDefault="00AE0575" w:rsidP="00BA3A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AE0575" w:rsidRPr="00AE0575" w:rsidRDefault="00AE0575" w:rsidP="00BA3A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 № _________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  по электроснабжению собственниками и пользователями жилых помещений в многоквартирных домах и жилых домов</w:t>
      </w:r>
    </w:p>
    <w:tbl>
      <w:tblPr>
        <w:tblW w:w="75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99"/>
        <w:gridCol w:w="1931"/>
        <w:gridCol w:w="1705"/>
        <w:gridCol w:w="1705"/>
        <w:gridCol w:w="1704"/>
        <w:gridCol w:w="1930"/>
      </w:tblGrid>
      <w:tr w:rsidR="00AE0575" w:rsidRPr="00AE0575" w:rsidTr="00AE0575">
        <w:trPr>
          <w:tblCellSpacing w:w="0" w:type="dxa"/>
        </w:trPr>
        <w:tc>
          <w:tcPr>
            <w:tcW w:w="10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комнат</w:t>
            </w:r>
          </w:p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квартире (жилом доме)</w:t>
            </w:r>
          </w:p>
        </w:tc>
        <w:tc>
          <w:tcPr>
            <w:tcW w:w="3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потребления, кВт·ч в месяц на 1 человека при количестве проживающих человек в квартире (жилом доме):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чел. и более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наличии электрической плиты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комн.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комн.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комн.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комн. и более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наличии газовой плиты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комн.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комн.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комн.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комн. и более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№2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 № _________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коммунальных услуг  по электроснабжению на общедомовые нужды собственниками и пользователями помещений в многоквартирных домах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6065"/>
      </w:tblGrid>
      <w:tr w:rsidR="00AE0575" w:rsidRPr="00AE0575" w:rsidTr="00AE057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жилищного фонда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потребления, кВт·ч в месяц                  на 1 кв. м уборочных площадей в многоквартирном доме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дома, оборудованные лифтами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дома, не оборудованные лифтами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         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          При определении нормативов потребления коммунальных услуг по электроснабжению на общедомовые нужды собственниками и пользователями помещений в многоквартирных домах учтены уборочные площади помещений, не являющихся частями жилых (нежилых) помещений в многоквартирных домах и предназначенных для обслуживания более одного помещения в многоквартирном доме, за исключением площадей технических этажей, чердаков, подвалов, лифтовых и иных шахт, земельных участков, на которых расположены многоквартирные дома, с элементами озеленения и благоустройства.</w:t>
      </w:r>
    </w:p>
    <w:p w:rsidR="00AE0575" w:rsidRPr="00AE0575" w:rsidRDefault="00AE0575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№3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 № _________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коммунальной услуги по электроснабжению для освещения в целях содержания сельскохозяйственных животных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75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3180"/>
      </w:tblGrid>
      <w:tr w:rsidR="00AE0575" w:rsidRPr="00AE0575" w:rsidTr="00AE0575">
        <w:trPr>
          <w:tblCellSpacing w:w="0" w:type="dxa"/>
        </w:trPr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Норматив, кВт·ч в месяц на 1 голову сельскохозяйственного животного (крупный рогатый скот, лошади, свиньи, козы, овцы, </w:t>
            </w: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сельскохозяйственная птица)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№4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 № _________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коммунальной услуги по электроснабжению для приготовления пищи и подогрева воды для сельскохозяйственных животных</w:t>
      </w:r>
    </w:p>
    <w:tbl>
      <w:tblPr>
        <w:tblW w:w="75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684"/>
        <w:gridCol w:w="3084"/>
      </w:tblGrid>
      <w:tr w:rsidR="00AE0575" w:rsidRPr="00AE0575" w:rsidTr="00AE0575">
        <w:trPr>
          <w:tblHeader/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Сельскохозяйственные животные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Норматив,</w:t>
            </w:r>
          </w:p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кВт·ч в месяц на 1 голову животного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крупный рогатый скот, лошади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свиньи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козы, овцы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птица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Default="00AE0575" w:rsidP="008A1FFE">
      <w:pPr>
        <w:jc w:val="both"/>
      </w:pPr>
    </w:p>
    <w:p w:rsidR="00AE0575" w:rsidRDefault="00AE0575" w:rsidP="008A1FFE">
      <w:pPr>
        <w:jc w:val="both"/>
      </w:pPr>
    </w:p>
    <w:p w:rsidR="00AE0575" w:rsidRDefault="00AE0575" w:rsidP="008A1FFE">
      <w:pPr>
        <w:jc w:val="both"/>
      </w:pPr>
    </w:p>
    <w:p w:rsidR="00AE0575" w:rsidRDefault="00AE0575" w:rsidP="008A1FFE">
      <w:pPr>
        <w:jc w:val="both"/>
      </w:pPr>
    </w:p>
    <w:p w:rsidR="00AE0575" w:rsidRDefault="00AE0575" w:rsidP="008A1FFE">
      <w:pPr>
        <w:jc w:val="both"/>
      </w:pPr>
    </w:p>
    <w:p w:rsidR="00AE0575" w:rsidRDefault="00AE0575" w:rsidP="008A1FFE">
      <w:pPr>
        <w:jc w:val="both"/>
      </w:pPr>
    </w:p>
    <w:p w:rsidR="00AE0575" w:rsidRDefault="00AE0575" w:rsidP="008A1FFE">
      <w:pPr>
        <w:jc w:val="both"/>
      </w:pPr>
    </w:p>
    <w:p w:rsidR="00D26CC9" w:rsidRDefault="00D26CC9" w:rsidP="008A1FFE">
      <w:pPr>
        <w:jc w:val="both"/>
      </w:pPr>
    </w:p>
    <w:p w:rsidR="00D26CC9" w:rsidRDefault="00D26CC9" w:rsidP="008A1FFE">
      <w:pPr>
        <w:jc w:val="both"/>
      </w:pPr>
    </w:p>
    <w:p w:rsidR="00D26CC9" w:rsidRDefault="00D26CC9" w:rsidP="008A1FFE">
      <w:pPr>
        <w:jc w:val="both"/>
      </w:pPr>
    </w:p>
    <w:p w:rsidR="00D26CC9" w:rsidRDefault="00D26CC9" w:rsidP="008A1FFE">
      <w:pPr>
        <w:jc w:val="both"/>
      </w:pPr>
    </w:p>
    <w:p w:rsidR="00D26CC9" w:rsidRDefault="00D26CC9" w:rsidP="008A1FFE">
      <w:pPr>
        <w:jc w:val="both"/>
      </w:pPr>
    </w:p>
    <w:p w:rsidR="00D26CC9" w:rsidRDefault="00D26CC9" w:rsidP="008A1FFE">
      <w:pPr>
        <w:jc w:val="both"/>
      </w:pPr>
    </w:p>
    <w:p w:rsidR="00FA6DA9" w:rsidRDefault="00FA6DA9" w:rsidP="008A1FFE">
      <w:pPr>
        <w:jc w:val="both"/>
      </w:pPr>
    </w:p>
    <w:p w:rsidR="00D26CC9" w:rsidRDefault="00D26CC9" w:rsidP="008A1FFE">
      <w:pPr>
        <w:jc w:val="both"/>
      </w:pPr>
    </w:p>
    <w:p w:rsidR="00D26CC9" w:rsidRDefault="00D26CC9" w:rsidP="008A1FFE">
      <w:pPr>
        <w:jc w:val="both"/>
      </w:pPr>
    </w:p>
    <w:p w:rsidR="00D26CC9" w:rsidRDefault="00D26CC9" w:rsidP="008A1FFE">
      <w:pPr>
        <w:jc w:val="both"/>
      </w:pPr>
    </w:p>
    <w:p w:rsidR="00D26CC9" w:rsidRDefault="00D26CC9" w:rsidP="008A1FFE">
      <w:pPr>
        <w:jc w:val="both"/>
      </w:pPr>
    </w:p>
    <w:p w:rsidR="00AE0575" w:rsidRPr="00AE0575" w:rsidRDefault="00AE0575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AE057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lastRenderedPageBreak/>
        <w:t>Газоснабжение</w:t>
      </w:r>
    </w:p>
    <w:p w:rsidR="00AE0575" w:rsidRPr="00AE0575" w:rsidRDefault="00AE0575" w:rsidP="008A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6CC9" w:rsidRDefault="00AE0575" w:rsidP="00D26CC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ДЕПАРТАМЕНТ</w:t>
      </w:r>
    </w:p>
    <w:p w:rsidR="00D26CC9" w:rsidRDefault="00AE0575" w:rsidP="00D26CC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D26CC9" w:rsidRPr="003C502B" w:rsidRDefault="00AE0575" w:rsidP="00D26CC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502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ПРИКАЗ</w:t>
      </w:r>
    </w:p>
    <w:p w:rsidR="003C502B" w:rsidRDefault="00AE0575" w:rsidP="003C502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20 августа 2012г. </w:t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C50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184/01-05-ос</w:t>
      </w:r>
    </w:p>
    <w:p w:rsidR="00AE0575" w:rsidRPr="00AE0575" w:rsidRDefault="00AE0575" w:rsidP="003C50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г. Тюмень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утверждении </w:t>
      </w:r>
      <w:r w:rsidRPr="003C502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нормативов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коммунальной</w:t>
      </w:r>
    </w:p>
    <w:p w:rsidR="00AE0575" w:rsidRPr="003C502B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услуги по </w:t>
      </w:r>
      <w:r w:rsidRPr="003C502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газоснабжению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157 Жилищного кодекса Российской Федерации, постановлениями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от 23.05.2006 №306 «Об утверждении Правил установления и определения нормативов потребления коммунальных услуг», Положением о департаменте тарифной и ценовой политики Тюменской области, утвержденным постановлением Правительства Тюменской области от 30.05.2005 №59-п, протоколом от 20.08.2012 №14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нормативы потребления коммунальной услуги по газоснабжению природным газом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№1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нормативы потребления природного газа, используемого для отопления собственниками и пользователями жилых помещений в многоквартирных домах и жилых домов, определенные расчетным методом, согласно приложению №2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нормативы потребления природного газа для отопления надворных построек, определенные расчетным методом, согласно приложению №3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Утвердить нормативы потребления природного газа для приготовления пищи и подогрева воды для сельскохозяйственных животных, определенные расчетным методом, согласно приложению №4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Утвердить нормативы потребления сжиженного газа (от групповых установок)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№5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Нормативы, утвержденные настоящим приказом, вводятся в действие с 1 сентября 2012 года.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Заместитель директора департамента Е. А.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Карташков</w:t>
      </w:r>
      <w:proofErr w:type="spellEnd"/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02B" w:rsidRDefault="003C502B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02B" w:rsidRDefault="003C502B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02B" w:rsidRDefault="003C502B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02B" w:rsidRDefault="003C502B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02B" w:rsidRDefault="003C502B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02B" w:rsidRDefault="003C502B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№1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 Тюменской области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 №184/01-05-ос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коммунальной услуги по газоснабжению природным газом собственниками и пользователями жилых помещений в многоквартирных домах и жилых домов для приготовления пищи и (или) подогрева воды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045"/>
        <w:gridCol w:w="2474"/>
      </w:tblGrid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куб. м в месяц на 1 человека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приготовление пищи с использованием газовой плиты при наличии централизованного отопления 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одновременно обслуживающего ванную комнату и кухню, при отсутствии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обслуживающего кухню, при отсутствии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приготовление пищи с использованием газовой плиты, при отсутствии газового водонагревателя 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№2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 №184/01-05-ос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природного газа, используемого для отопления собственниками и пользователями жилых помещений в многоквартирных домах и жилых домов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220"/>
        <w:gridCol w:w="686"/>
        <w:gridCol w:w="988"/>
        <w:gridCol w:w="556"/>
        <w:gridCol w:w="722"/>
        <w:gridCol w:w="730"/>
        <w:gridCol w:w="873"/>
        <w:gridCol w:w="1258"/>
        <w:gridCol w:w="1082"/>
        <w:gridCol w:w="983"/>
        <w:gridCol w:w="845"/>
      </w:tblGrid>
      <w:tr w:rsidR="00AE0575" w:rsidRPr="00AE0575" w:rsidTr="00AE0575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Среднегодовой норматив потребления газа, куб. м в месяц на 1 кв. м общей площади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по месяцам, куб. м на 1 кв. м общей площади жилых помещений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№3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 №184/01-05-ос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природного газа для отопления надворных построек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1104"/>
        <w:gridCol w:w="518"/>
        <w:gridCol w:w="4882"/>
      </w:tblGrid>
      <w:tr w:rsidR="00AE0575" w:rsidRPr="00AE0575" w:rsidTr="00AE05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 природного газа для отопления надворных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 для содержания сельскохозяйственных животных и гаражи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среднегодовой норматив потребления газа, куб. м в месяц на 1 кв. м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по месяцам,</w:t>
            </w:r>
          </w:p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куб. м на 1 кв. м общей площади надворных </w:t>
            </w: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№4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 №184/01-05-ос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природного газа для приготовления пищи и подогрева воды для сельскохозяйственных животных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47"/>
        <w:gridCol w:w="2611"/>
      </w:tblGrid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Сельскохозяйственные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Норматив,</w:t>
            </w:r>
          </w:p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 м в месяц на 1 голову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№5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департамента тарифной и ценовой политики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20.08.2012 №184/01-05-ос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 потребления сжиженного газа (от групповых установок) собственниками и пользователями жилых помещений в многоквартирных домах и жилых домов для приготовления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пищи и (или) подогрева воды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145"/>
        <w:gridCol w:w="2373"/>
      </w:tblGrid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кг в месяц на 1 человека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приготовление пищи с использованием газовой плиты, при наличии централизованного отопления 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одновременно обслуживающего ванную комнату и кухню, при отсутствии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приготовление пищи с использованием газовой плиты и нагрев воды с использованием газового водонагревателя, обслуживающего кухню, при отсутствии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приготовление пищи с использованием газовой плиты, при отсутствии газового водонагревателя и централизованного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A6DA9" w:rsidRDefault="00FA6DA9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AE0575" w:rsidRPr="00AE0575" w:rsidRDefault="00AE0575" w:rsidP="008A1FFE">
      <w:pPr>
        <w:pBdr>
          <w:bottom w:val="single" w:sz="6" w:space="7" w:color="DADBDA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AE057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lastRenderedPageBreak/>
        <w:t xml:space="preserve">Отопление </w:t>
      </w:r>
    </w:p>
    <w:p w:rsidR="00AE0575" w:rsidRPr="00AE0575" w:rsidRDefault="00AE0575" w:rsidP="008A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75" w:rsidRPr="00AE0575" w:rsidRDefault="00AE0575" w:rsidP="00D26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ТАРИФНОЙ И ЦЕНОВОЙ ПОЛИТИКИ ТЮМЕНСКОЙ ОБЛАСТИ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575" w:rsidRPr="00AE0575" w:rsidRDefault="00AE0575" w:rsidP="00D26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575" w:rsidRPr="007C58A9" w:rsidRDefault="00AE0575" w:rsidP="00D26C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58A9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20.08.2012                                                      № 185/01-05-ос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г.Тюмень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«Об утверждении </w:t>
      </w:r>
      <w:r w:rsidRPr="007C58A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нормативов</w:t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потребления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коммунальной услуги по </w:t>
      </w:r>
      <w:r w:rsidRPr="007C58A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отоплению</w:t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приказов Департамента тарифной 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ценовой политики Тюменской области от 14.09.2012 № 191/01-05-ос,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28.06.2013 №79/01-05-ос, от 22.07.2013 №91/01-05-ос, от 30.09.2013 №167/01-05-ос)"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157 Жилищного кодекса Российской Федерации, постановлениями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от 23.05.2006 N 306 "Об утверждении Правил установления и определения нормативов потребления коммунальных услуг", Положением о департаменте тарифной и ценовой политики Тюменской области, утвержденным постановлением Правительства Тюменской области от 30.05.2005 N 59-п, протоколом от 20.08.2012 N 14 приказываю: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закона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методом, согласно приложению 1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Исключен с 1 июля 2013 г.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нормативы потребления коммунальной услуги по отоплению надворных построек в отопительный период, определенные расчетным методом, согласно приложению 3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Утвердить 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закона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методом, согласно приложению 4 к настоящему приказу.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2664"/>
      </w:tblGrid>
      <w:tr w:rsidR="00AE0575" w:rsidRPr="00AE0575" w:rsidTr="00AE0575">
        <w:trPr>
          <w:tblCellSpacing w:w="0" w:type="dxa"/>
        </w:trPr>
        <w:tc>
          <w:tcPr>
            <w:tcW w:w="5328" w:type="dxa"/>
            <w:shd w:val="clear" w:color="auto" w:fill="FFFFFF"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divId w:val="43024621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департамента</w:t>
            </w:r>
          </w:p>
        </w:tc>
        <w:tc>
          <w:tcPr>
            <w:tcW w:w="2664" w:type="dxa"/>
            <w:shd w:val="clear" w:color="auto" w:fill="FFFFFF"/>
            <w:vAlign w:val="bottom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Карташков</w:t>
            </w:r>
            <w:proofErr w:type="spellEnd"/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8A9" w:rsidRDefault="007C58A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8A9" w:rsidRDefault="007C58A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8A9" w:rsidRDefault="007C58A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8A9" w:rsidRDefault="007C58A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58A9" w:rsidRDefault="007C58A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6CC9" w:rsidRDefault="00D26CC9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 </w:t>
      </w: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приказу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департамента тарифной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ценовой политики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AE0575" w:rsidRPr="00AE0575" w:rsidRDefault="00AE0575" w:rsidP="00D26C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августа 2012 г. N 185/01-05-ос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 </w:t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закона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134"/>
        <w:gridCol w:w="1134"/>
        <w:gridCol w:w="1134"/>
        <w:gridCol w:w="992"/>
        <w:gridCol w:w="992"/>
      </w:tblGrid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муниципальных образований</w:t>
            </w:r>
          </w:p>
        </w:tc>
        <w:tc>
          <w:tcPr>
            <w:tcW w:w="5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Гкал в месяц на 1 кв. м общей площади жилого или нежилого помещения в многоквартирном доме или жилого дома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Этажность дома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5-я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107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 Многоквартирные дома или жилые дома до 1999 года постройки включительно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1 - 2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0,0295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3 - 4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0,0291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5 - 9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0,0287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10 - 11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этажный и более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107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1 - 2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0,0287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0,0282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4 - 5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0,0278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6 - 7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0,0270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8 - 9 этажный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E0575" w:rsidRPr="00AE0575" w:rsidTr="008A1FFE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этажный и более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 </w:t>
      </w: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приказу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департамента тарифной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ценовой политики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августа 2012 г. N 185/01-05-ос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потребления коммунальной услуги по отоплению на общедомовые нужды</w:t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собственниками и пользователями помещений, в отопительный период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Исключено с 1 июля 2013 г.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 </w:t>
      </w:r>
      <w:hyperlink r:id="rId5" w:anchor="sub_0" w:history="1">
        <w:r w:rsidRPr="00AE0575">
          <w:rPr>
            <w:rFonts w:ascii="Arial" w:eastAsia="Times New Roman" w:hAnsi="Arial" w:cs="Arial"/>
            <w:b/>
            <w:bCs/>
            <w:color w:val="5E5DA0"/>
            <w:sz w:val="21"/>
            <w:szCs w:val="21"/>
            <w:u w:val="single"/>
            <w:lang w:eastAsia="ru-RU"/>
          </w:rPr>
          <w:t>приказу</w:t>
        </w:r>
      </w:hyperlink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департамента тарифной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ценовой политики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августа 2012 г. N 185/01-05-ос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потребления коммунальной услуги по отоплению надворных</w:t>
      </w: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построек в отопительный период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780"/>
        <w:gridCol w:w="900"/>
        <w:gridCol w:w="3132"/>
      </w:tblGrid>
      <w:tr w:rsidR="00AE0575" w:rsidRPr="00AE0575" w:rsidTr="00AE0575">
        <w:trPr>
          <w:tblCellSpacing w:w="0" w:type="dxa"/>
        </w:trPr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муниципальных образований</w:t>
            </w:r>
          </w:p>
        </w:tc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Гкал в месяц на 1 кв. м отапливаемых надворных построек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гаражи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 для содержания сельскохозяйственных животных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0,0164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0,0210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0,0179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0,0252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0,0228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0,0221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0,0197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0,0227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 (количество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лет).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 </w:t>
      </w:r>
      <w:r w:rsidRPr="00AE0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приказу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департамента тарифной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ценовой политики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августа 2012 г. N 185/01-05-ос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закона от 23.11.2009 N 261-ФЗ "Об энергосбережении и о повышении </w:t>
      </w: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780"/>
        <w:gridCol w:w="780"/>
        <w:gridCol w:w="780"/>
        <w:gridCol w:w="780"/>
        <w:gridCol w:w="804"/>
      </w:tblGrid>
      <w:tr w:rsidR="00AE0575" w:rsidRPr="00AE0575" w:rsidTr="00AE057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муниципальных образований</w:t>
            </w:r>
          </w:p>
        </w:tc>
        <w:tc>
          <w:tcPr>
            <w:tcW w:w="39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Гкал в месяц на 1 кв. м общей площади жилого или нежилого помещения в многоквартирном доме или жилого дома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Этажность дома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5-я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Одно- и двухэтажные многоквартирные и жилые дома до 1999 года постройки включительно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0,0295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Трех- и четырехэтажные многоквартирные и жилые дома до 1999 года постройки включительно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0,0291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Одно- и двухэтажные многоквартирные и жилые дома после 1999 года постройки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0,0176</w:t>
            </w:r>
          </w:p>
        </w:tc>
      </w:tr>
      <w:tr w:rsidR="00AE0575" w:rsidRPr="00AE0575" w:rsidTr="00AE057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Трех- и четырехэтажные многоквартирные и жилые дома после 1999 года постройки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0,0153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575" w:rsidRPr="00AE0575" w:rsidRDefault="00AE0575" w:rsidP="008A1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0,0175</w:t>
            </w:r>
          </w:p>
        </w:tc>
      </w:tr>
    </w:tbl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</w:p>
    <w:p w:rsidR="00AE0575" w:rsidRPr="00AE0575" w:rsidRDefault="00AE0575" w:rsidP="008A1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E0575" w:rsidRDefault="00AE0575" w:rsidP="008A1FFE">
      <w:pPr>
        <w:jc w:val="both"/>
      </w:pPr>
    </w:p>
    <w:sectPr w:rsidR="00AE0575" w:rsidSect="008A1FF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6"/>
    <w:rsid w:val="003C502B"/>
    <w:rsid w:val="003D29E9"/>
    <w:rsid w:val="006860F9"/>
    <w:rsid w:val="00746CDB"/>
    <w:rsid w:val="007C58A9"/>
    <w:rsid w:val="00850692"/>
    <w:rsid w:val="008A1FFE"/>
    <w:rsid w:val="00AE0575"/>
    <w:rsid w:val="00B1274B"/>
    <w:rsid w:val="00BA3A60"/>
    <w:rsid w:val="00C37854"/>
    <w:rsid w:val="00D26CC9"/>
    <w:rsid w:val="00F42456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54"/>
  </w:style>
  <w:style w:type="paragraph" w:styleId="a3">
    <w:name w:val="Normal (Web)"/>
    <w:basedOn w:val="a"/>
    <w:uiPriority w:val="99"/>
    <w:semiHidden/>
    <w:unhideWhenUsed/>
    <w:rsid w:val="00C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854"/>
  </w:style>
  <w:style w:type="paragraph" w:styleId="a4">
    <w:name w:val="Balloon Text"/>
    <w:basedOn w:val="a"/>
    <w:link w:val="a5"/>
    <w:uiPriority w:val="99"/>
    <w:semiHidden/>
    <w:unhideWhenUsed/>
    <w:rsid w:val="00D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54"/>
  </w:style>
  <w:style w:type="paragraph" w:styleId="a3">
    <w:name w:val="Normal (Web)"/>
    <w:basedOn w:val="a"/>
    <w:uiPriority w:val="99"/>
    <w:semiHidden/>
    <w:unhideWhenUsed/>
    <w:rsid w:val="00C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854"/>
  </w:style>
  <w:style w:type="paragraph" w:styleId="a4">
    <w:name w:val="Balloon Text"/>
    <w:basedOn w:val="a"/>
    <w:link w:val="a5"/>
    <w:uiPriority w:val="99"/>
    <w:semiHidden/>
    <w:unhideWhenUsed/>
    <w:rsid w:val="00D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rutevaNaA\AppData\Local\Microsoft\Windows\Temporary%20Internet%20Files\Content.Outlook\WU5IH7G7\%D0%9F%D1%80%D0%B8%D0%BA%D0%B0%D0%B7%20%D0%94%D0%B5%D0%BF%D0%B0%D1%80%D1%82%D0%B0%D0%BC%D0%B5%D0%BD%D1%82%D0%B0%20%D1%82%D0%B0%D1%80%D0%B8%D1%84%D0%BD%D0%BE%D0%B9%20%D0%B8%20%D1%86%D0%B5%D0%BD%D0%BE%D0%B2%D0%BE%D0%B9%20%D0%BF%D0%BE%D0%BB%D0%B8%D1%82%D0%B8%D0%BA%D0%B8%20%D0%A2%D1%8E%D0%BC%D0%B5%D0%BD%D1%81%D0%BA%D0%BE%D0%B9%20%D0%BE%D0%B1%20(2)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8270</Words>
  <Characters>47141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2015-04-16T09:03:00Z</cp:lastPrinted>
  <dcterms:created xsi:type="dcterms:W3CDTF">2016-04-11T04:12:00Z</dcterms:created>
  <dcterms:modified xsi:type="dcterms:W3CDTF">2016-04-11T04:12:00Z</dcterms:modified>
</cp:coreProperties>
</file>